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A1" w:rsidRPr="00CC35A1" w:rsidRDefault="00CC35A1" w:rsidP="00CC35A1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Theme="majorBidi" w:eastAsia="Times New Roman" w:hAnsiTheme="majorBidi" w:cstheme="majorBidi"/>
          <w:kern w:val="36"/>
          <w:sz w:val="36"/>
          <w:szCs w:val="36"/>
        </w:rPr>
      </w:pPr>
      <w:r w:rsidRPr="00CC35A1">
        <w:rPr>
          <w:rFonts w:asciiTheme="majorBidi" w:eastAsia="Times New Roman" w:hAnsiTheme="majorBidi" w:cstheme="majorBidi"/>
          <w:kern w:val="36"/>
          <w:sz w:val="36"/>
          <w:szCs w:val="36"/>
          <w:rtl/>
        </w:rPr>
        <w:t>كثرة الوحيدات الخمجية ، مرض وحيدات النواة الانتاني</w:t>
      </w:r>
      <w:r w:rsidRPr="00CC35A1">
        <w:rPr>
          <w:rFonts w:asciiTheme="majorBidi" w:eastAsia="Times New Roman" w:hAnsiTheme="majorBidi" w:cstheme="majorBidi"/>
          <w:kern w:val="36"/>
          <w:sz w:val="36"/>
          <w:szCs w:val="36"/>
        </w:rPr>
        <w:br/>
        <w:t xml:space="preserve">Mononucleosis infectious </w:t>
      </w:r>
    </w:p>
    <w:p w:rsidR="00CC35A1" w:rsidRPr="00CC35A1" w:rsidRDefault="00903239" w:rsidP="00903239">
      <w:pPr>
        <w:bidi w:val="0"/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-265430</wp:posOffset>
            </wp:positionH>
            <wp:positionV relativeFrom="paragraph">
              <wp:posOffset>11430</wp:posOffset>
            </wp:positionV>
            <wp:extent cx="3073400" cy="2456815"/>
            <wp:effectExtent l="19050" t="0" r="0" b="0"/>
            <wp:wrapTight wrapText="bothSides">
              <wp:wrapPolygon edited="0">
                <wp:start x="-134" y="0"/>
                <wp:lineTo x="-134" y="21438"/>
                <wp:lineTo x="21555" y="21438"/>
                <wp:lineTo x="21555" y="0"/>
                <wp:lineTo x="-134" y="0"/>
              </wp:wrapPolygon>
            </wp:wrapTight>
            <wp:docPr id="1" name="صورة 1" descr="http://www.tbeeb.com/pic/uploads/e11d6d4c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beeb.com/pic/uploads/e11d6d4c9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45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 xml:space="preserve">تعريف 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هو داء إنتاني ، يتّصف بظهور الحرارة ، وذبحة لوزية ، و التهاب الغدد اللمفاوية و تبدّلات ملموسة في لوحة الكرويات الدموية البيضاء و تضخم الكبد و الطحال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السبب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ينجم المرض عن فيروس إيبشتاين – بار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Epstein-Barr virus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طريقة انتشار المرض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 xml:space="preserve">تنتقل العدوى من الشخص المريض او حامل الفيروس الى الشخص الآخر السليم ، عن طريق الهواء ( العطاس ، السعال ) و الاحتكاك المباشر ( القبلة ) ، او تلوث الفم بالبراز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(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كما عند الاطفال ) ، وعبر الدم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بعد الاصابة تتكوّن مناعة دائمة ضد المرض . يصيب عادة الاطفال بعد عمر الـ 3 سنوات و الشبيبة من 15 – 25 سنة و الكبار ايضا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سمي بمرض " الطلاب " ( في الجامعات ) او مرض " القبلة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"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نشوء المرض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عند دخول الفيروس عبر الفم ، تنتشر العدوى ، بواسطة الدم ، و تصل الى العقد اللمفاوية و الكبد و الطحال و لب العظم ، فتؤدي الى تضخمها جميعاً . و بالنتيجة يزداد عدد الكريات البيضاء أحادية النواة في الدم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الحالة السريرية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 xml:space="preserve">بعد مرحلة الحضانة البالغة من 5 – 15 يوماً ( اسبوعين ) يبدأ ظهور اعراض المرض وهي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ارتفاع الحرارة حتى 28-29 درجة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الم في البلعوم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زكام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تضخم الغدد اللمفاوية في كامل الجسم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ذبحة لوزية : التهاب و احمرار و تضخم اللوزتين مع حصول نخر و تقرّح فيها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(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طفح جلدي ، على شكل بقع حمراء ( شبيهة بتلك عند الحصبة او الحمى القرمزية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تورم العيون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تضخم الكبد و الطحال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(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ظهور الاصفرار ( اليرقان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لوحة الدم الابيض المخبرية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lastRenderedPageBreak/>
        <w:t>ارتفاع عدد الكريات البيضاء بشكل كبير و خاصة الكرويات اللمفاوية و الكريات احادية الخلية ، و ظهور الكريات اللمفاوية اللانموذجية . يحصل الشفاء عادة ، نحو الاسبوع الـ 3 او الـ 4 بعد الاصابة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الاشكال السريرية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الشكل الخفيف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الشكل المعتدل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021171" w:rsidRPr="00CC35A1">
        <w:rPr>
          <w:rFonts w:asciiTheme="majorBidi" w:eastAsia="Times New Roman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E57CC59" wp14:editId="59472BA7">
            <wp:simplePos x="0" y="0"/>
            <wp:positionH relativeFrom="column">
              <wp:posOffset>-268605</wp:posOffset>
            </wp:positionH>
            <wp:positionV relativeFrom="paragraph">
              <wp:posOffset>1510030</wp:posOffset>
            </wp:positionV>
            <wp:extent cx="2854325" cy="1892300"/>
            <wp:effectExtent l="0" t="0" r="0" b="0"/>
            <wp:wrapTight wrapText="bothSides">
              <wp:wrapPolygon edited="0">
                <wp:start x="0" y="0"/>
                <wp:lineTo x="0" y="21310"/>
                <wp:lineTo x="21480" y="21310"/>
                <wp:lineTo x="21480" y="0"/>
                <wp:lineTo x="0" y="0"/>
              </wp:wrapPolygon>
            </wp:wrapTight>
            <wp:docPr id="2" name="صورة 2" descr="http://www.tbeeb.com/pic/uploads/9b73262b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beeb.com/pic/uploads/9b73262bf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الشكل الشديد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التشخيص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يتم على اساس الحالة السريرية و لوحة الدم ، بالاضافة لعزل الفيروس و اختبار تغرية الدم لبول بونيل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(</w:t>
      </w:r>
      <w:proofErr w:type="spellStart"/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>paul</w:t>
      </w:r>
      <w:proofErr w:type="spellEnd"/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- </w:t>
      </w:r>
      <w:proofErr w:type="spellStart"/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>Bunnell</w:t>
      </w:r>
      <w:proofErr w:type="spellEnd"/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)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، و اختبار دافيدسون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( Davidson )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 xml:space="preserve">و الاختبار المناعي المضئ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نأخذ ، عادة عيّنة من الحلق و ترسل الى المختبر لاكتشاف الفيروس المسبب للمرض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التشخيص التمايزي : يجرى مع</w:t>
      </w:r>
      <w:r w:rsidR="00CC35A1"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دفتيريا البلعوم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مرض تكاثر الكريات اللمفاوية الإنتاني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="00CC35A1" w:rsidRPr="00CC35A1">
        <w:rPr>
          <w:rFonts w:asciiTheme="majorBidi" w:eastAsia="Times New Roman" w:hAnsiTheme="majorBidi" w:cstheme="majorBidi"/>
          <w:sz w:val="24"/>
          <w:szCs w:val="24"/>
          <w:rtl/>
        </w:rPr>
        <w:t>التوكسوبلازموز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C35A1" w:rsidRPr="00CC35A1">
        <w:rPr>
          <w:rFonts w:asciiTheme="majorBidi" w:eastAsia="Times New Roman" w:hAnsiTheme="majorBidi" w:cstheme="majorBidi"/>
          <w:sz w:val="24"/>
          <w:szCs w:val="24"/>
        </w:rPr>
        <w:br/>
      </w:r>
    </w:p>
    <w:p w:rsidR="00CC35A1" w:rsidRPr="00CC35A1" w:rsidRDefault="00CC35A1" w:rsidP="00CC35A1">
      <w:pPr>
        <w:bidi w:val="0"/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</w:rPr>
      </w:pPr>
    </w:p>
    <w:p w:rsidR="00CC35A1" w:rsidRPr="00CC35A1" w:rsidRDefault="00CC35A1" w:rsidP="00CC35A1">
      <w:pPr>
        <w:bidi w:val="0"/>
        <w:spacing w:before="100" w:beforeAutospacing="1" w:after="100" w:afterAutospacing="1" w:line="240" w:lineRule="auto"/>
        <w:jc w:val="right"/>
        <w:outlineLvl w:val="3"/>
        <w:rPr>
          <w:rFonts w:asciiTheme="majorBidi" w:eastAsia="Times New Roman" w:hAnsiTheme="majorBidi" w:cstheme="majorBidi"/>
          <w:sz w:val="24"/>
          <w:szCs w:val="24"/>
        </w:rPr>
      </w:pPr>
      <w:r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العلاج</w:t>
      </w:r>
      <w:r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لا علاج مميز و خاص بالمرض ، لكن يجب اتباع التدابير الآتية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الراحة في الفراش بالاضافة الى الغذاء الجيد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(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إعطاء المضادات الحيوية ( للوقاية من الالتهاب الانتاني الجرثومي الثانوي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يتم وصف ادوية الستيروييدية القشرية في الحالات الشديدة للمرض وعند حصول التعقيدات المذكورة سابقا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مخفّضات الحرارة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المسكنات و المهدئات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الفيتامينات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في حال فشل الادوية الستيروييدية كالكورتيزون ، في علاج انسداد الجهاز التنفسي ، يتم اجراء فتحة اصطناعية في الرغامى ، كي يتمكن المصاب من التنفس منها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color w:val="3366CC"/>
          <w:sz w:val="24"/>
          <w:szCs w:val="24"/>
          <w:rtl/>
        </w:rPr>
        <w:t>الوقاية</w:t>
      </w:r>
      <w:r w:rsidRPr="00CC35A1">
        <w:rPr>
          <w:rFonts w:asciiTheme="majorBidi" w:eastAsia="Times New Roman" w:hAnsiTheme="majorBidi" w:cstheme="majorBidi"/>
          <w:color w:val="3366CC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عزل المريض و علاجه حتى الشفاء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مراقبة المحتكّين بالمصاب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br/>
        <w:t xml:space="preserve"> </w:t>
      </w:r>
      <w:r w:rsidRPr="00CC35A1">
        <w:rPr>
          <w:rFonts w:asciiTheme="majorBidi" w:eastAsia="Times New Roman" w:hAnsiTheme="majorBidi" w:cstheme="majorBidi"/>
          <w:sz w:val="24"/>
          <w:szCs w:val="24"/>
          <w:rtl/>
        </w:rPr>
        <w:t>تجرى حاليا دراسات و ابحاث علمية جادة ، من اجل صناعة و تحضير لقاح ( طعم ) مضاد لهذا المرض (على هيئة مصل )</w:t>
      </w:r>
      <w:r w:rsidRPr="00CC35A1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921AC0" w:rsidRPr="00021171" w:rsidRDefault="00921AC0">
      <w:pPr>
        <w:rPr>
          <w:rFonts w:asciiTheme="majorBidi" w:hAnsiTheme="majorBidi" w:cstheme="majorBidi"/>
        </w:rPr>
      </w:pPr>
      <w:bookmarkStart w:id="0" w:name="_GoBack"/>
      <w:bookmarkEnd w:id="0"/>
    </w:p>
    <w:sectPr w:rsidR="00921AC0" w:rsidRPr="00021171" w:rsidSect="00A36313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71" w:rsidRDefault="00021171" w:rsidP="00021171">
      <w:pPr>
        <w:spacing w:after="0" w:line="240" w:lineRule="auto"/>
      </w:pPr>
      <w:r>
        <w:separator/>
      </w:r>
    </w:p>
  </w:endnote>
  <w:endnote w:type="continuationSeparator" w:id="0">
    <w:p w:rsidR="00021171" w:rsidRDefault="00021171" w:rsidP="00021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171" w:rsidRDefault="00021171" w:rsidP="00021171">
    <w:pPr>
      <w:pStyle w:val="Footer"/>
      <w:jc w:val="right"/>
      <w:rPr>
        <w:rFonts w:hint="cs"/>
      </w:rPr>
    </w:pPr>
    <w:r>
      <w:rPr>
        <w:rFonts w:hint="cs"/>
        <w:rtl/>
      </w:rPr>
      <w:t>عبد الله جلال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71" w:rsidRDefault="00021171" w:rsidP="00021171">
      <w:pPr>
        <w:spacing w:after="0" w:line="240" w:lineRule="auto"/>
      </w:pPr>
      <w:r>
        <w:separator/>
      </w:r>
    </w:p>
  </w:footnote>
  <w:footnote w:type="continuationSeparator" w:id="0">
    <w:p w:rsidR="00021171" w:rsidRDefault="00021171" w:rsidP="000211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5A1"/>
    <w:rsid w:val="00021171"/>
    <w:rsid w:val="00086785"/>
    <w:rsid w:val="00903239"/>
    <w:rsid w:val="00921AC0"/>
    <w:rsid w:val="00A36313"/>
    <w:rsid w:val="00CC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C0"/>
    <w:pPr>
      <w:bidi/>
    </w:pPr>
  </w:style>
  <w:style w:type="paragraph" w:styleId="Heading1">
    <w:name w:val="heading 1"/>
    <w:basedOn w:val="Normal"/>
    <w:link w:val="Heading1Char"/>
    <w:uiPriority w:val="9"/>
    <w:qFormat/>
    <w:rsid w:val="00CC35A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CC35A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35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CC35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11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171"/>
  </w:style>
  <w:style w:type="paragraph" w:styleId="Footer">
    <w:name w:val="footer"/>
    <w:basedOn w:val="Normal"/>
    <w:link w:val="FooterChar"/>
    <w:uiPriority w:val="99"/>
    <w:unhideWhenUsed/>
    <w:rsid w:val="0002117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zizan</dc:creator>
  <cp:lastModifiedBy>zizan</cp:lastModifiedBy>
  <cp:revision>3</cp:revision>
  <cp:lastPrinted>2013-04-24T08:14:00Z</cp:lastPrinted>
  <dcterms:created xsi:type="dcterms:W3CDTF">2013-04-23T09:10:00Z</dcterms:created>
  <dcterms:modified xsi:type="dcterms:W3CDTF">2013-04-24T08:14:00Z</dcterms:modified>
</cp:coreProperties>
</file>